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6D" w:rsidRDefault="0004636D" w:rsidP="0004636D">
      <w:pPr>
        <w:pStyle w:val="1"/>
        <w:jc w:val="center"/>
      </w:pPr>
      <w:r>
        <w:t>Инструкция по работе в системе электронного мониторинга для сотрудников организаций культуры.</w:t>
      </w:r>
    </w:p>
    <w:p w:rsidR="0004636D" w:rsidRPr="0004636D" w:rsidRDefault="0004636D" w:rsidP="0004636D"/>
    <w:p w:rsidR="00680924" w:rsidRDefault="00BC23B3" w:rsidP="0004636D">
      <w:pPr>
        <w:pStyle w:val="2"/>
      </w:pPr>
      <w:r>
        <w:t>Общее назначение системы</w:t>
      </w:r>
    </w:p>
    <w:p w:rsidR="00BC23B3" w:rsidRPr="00BC23B3" w:rsidRDefault="00BC23B3" w:rsidP="00BC23B3">
      <w:r>
        <w:t xml:space="preserve">Система электронного мониторинга предназначена для автоматизированного сбора различной информации с организаций культуры. </w:t>
      </w:r>
      <w:r w:rsidR="001123A1">
        <w:t xml:space="preserve"> Сбор информации происходит путем заполнения различных отчетов сотрудниками организаций культуры.</w:t>
      </w:r>
    </w:p>
    <w:p w:rsidR="00BC23B3" w:rsidRDefault="00BC23B3" w:rsidP="0004636D">
      <w:pPr>
        <w:pStyle w:val="2"/>
      </w:pPr>
      <w:r>
        <w:t>Вход в систему</w:t>
      </w:r>
    </w:p>
    <w:p w:rsidR="00BC23B3" w:rsidRDefault="00BC23B3" w:rsidP="00BC23B3">
      <w:pPr>
        <w:rPr>
          <w:noProof/>
          <w:lang w:eastAsia="ru-RU"/>
        </w:rPr>
      </w:pPr>
      <w:r>
        <w:t xml:space="preserve">Для входа в систему необходимо перейти по ссылке </w:t>
      </w:r>
      <w:hyperlink r:id="rId5" w:history="1">
        <w:r w:rsidRPr="00BC23B3">
          <w:rPr>
            <w:rStyle w:val="a3"/>
          </w:rPr>
          <w:t>http://mon.ast63.ru</w:t>
        </w:r>
      </w:hyperlink>
      <w:r>
        <w:t xml:space="preserve"> После перехода по ссылке пользователь должен ввести полученный логин и пароль от системы. Логином служит адрес электронной почты</w:t>
      </w:r>
    </w:p>
    <w:p w:rsidR="00BC23B3" w:rsidRDefault="00BC23B3" w:rsidP="00BC23B3">
      <w:r>
        <w:rPr>
          <w:noProof/>
          <w:lang w:eastAsia="ru-RU"/>
        </w:rPr>
        <w:drawing>
          <wp:inline distT="0" distB="0" distL="0" distR="0" wp14:anchorId="070F53F2" wp14:editId="34CBDDFD">
            <wp:extent cx="6022048" cy="248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41" t="7105" r="18225" b="45234"/>
                    <a:stretch/>
                  </pic:blipFill>
                  <pic:spPr bwMode="auto">
                    <a:xfrm>
                      <a:off x="0" y="0"/>
                      <a:ext cx="6039625" cy="249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3B3" w:rsidRPr="00BC23B3" w:rsidRDefault="00BC23B3" w:rsidP="00BC23B3">
      <w:r>
        <w:t>После ввода логина и пароля пользователь попадает в кабинет организации. В случае, если логин и пароль от системы утрачен для их восстановления необходимо обратиться к специалисту, ответственному за мониторинг, в муниципалитете.</w:t>
      </w:r>
    </w:p>
    <w:p w:rsidR="00BC23B3" w:rsidRDefault="00BC23B3" w:rsidP="0004636D">
      <w:pPr>
        <w:pStyle w:val="2"/>
      </w:pPr>
      <w:r>
        <w:t>Работа в кабинете</w:t>
      </w:r>
      <w:r>
        <w:rPr>
          <w:lang w:val="en-US"/>
        </w:rPr>
        <w:t xml:space="preserve"> </w:t>
      </w:r>
      <w:r>
        <w:t>организации</w:t>
      </w:r>
    </w:p>
    <w:p w:rsidR="00BC23B3" w:rsidRDefault="00BC23B3" w:rsidP="00BC23B3">
      <w:r>
        <w:t>Кабинет организации является основным местом для работы в системе. Внешний вид кабинета представлен ниже на рисунке</w:t>
      </w:r>
      <w:r w:rsidR="004F6986">
        <w:t>.</w:t>
      </w:r>
    </w:p>
    <w:p w:rsidR="00BC23B3" w:rsidRDefault="00BC23B3" w:rsidP="00BC23B3">
      <w:r>
        <w:rPr>
          <w:noProof/>
          <w:lang w:eastAsia="ru-RU"/>
        </w:rPr>
        <w:lastRenderedPageBreak/>
        <w:drawing>
          <wp:inline distT="0" distB="0" distL="0" distR="0" wp14:anchorId="02D93112" wp14:editId="7556E9AF">
            <wp:extent cx="6041424" cy="355408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52" t="6436" r="17655" b="23842"/>
                    <a:stretch/>
                  </pic:blipFill>
                  <pic:spPr bwMode="auto">
                    <a:xfrm>
                      <a:off x="0" y="0"/>
                      <a:ext cx="6063308" cy="356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3B3" w:rsidRDefault="004F6986" w:rsidP="00BC23B3">
      <w:r>
        <w:t xml:space="preserve">В центральной части кабинета организации представлены отчеты, которые необходимо заполнить. </w:t>
      </w:r>
    </w:p>
    <w:p w:rsidR="004F6986" w:rsidRDefault="004F6986" w:rsidP="00BC23B3">
      <w:r>
        <w:t>Все отчеты имеют определенный статус:</w:t>
      </w:r>
    </w:p>
    <w:p w:rsidR="004F6986" w:rsidRDefault="004F6986" w:rsidP="004F6986">
      <w:pPr>
        <w:pStyle w:val="a4"/>
        <w:numPr>
          <w:ilvl w:val="0"/>
          <w:numId w:val="1"/>
        </w:numPr>
      </w:pPr>
      <w:r w:rsidRPr="001123A1">
        <w:rPr>
          <w:b/>
        </w:rPr>
        <w:t>Новый</w:t>
      </w:r>
      <w:r>
        <w:t>. В данном статусе отчет находится, если он не заполнялся сотрудником организации.</w:t>
      </w:r>
    </w:p>
    <w:p w:rsidR="004F6986" w:rsidRDefault="004F6986" w:rsidP="004F6986">
      <w:pPr>
        <w:pStyle w:val="a4"/>
        <w:numPr>
          <w:ilvl w:val="0"/>
          <w:numId w:val="1"/>
        </w:numPr>
      </w:pPr>
      <w:r w:rsidRPr="001123A1">
        <w:rPr>
          <w:b/>
        </w:rPr>
        <w:t>Заполнен</w:t>
      </w:r>
      <w:r>
        <w:t>. После заполнения и сохранения отчета он переходит в статус «Заполнен».</w:t>
      </w:r>
    </w:p>
    <w:p w:rsidR="004F6986" w:rsidRDefault="004F6986" w:rsidP="004F6986">
      <w:pPr>
        <w:pStyle w:val="a4"/>
        <w:numPr>
          <w:ilvl w:val="0"/>
          <w:numId w:val="1"/>
        </w:numPr>
      </w:pPr>
      <w:r w:rsidRPr="001123A1">
        <w:rPr>
          <w:b/>
        </w:rPr>
        <w:t>Доработать</w:t>
      </w:r>
      <w:r>
        <w:t>. В данный статус отчет переходит, когда сотрудник вышестоящей организации нашел в нем недостатки и отправил его на доработку.</w:t>
      </w:r>
    </w:p>
    <w:p w:rsidR="004F6986" w:rsidRDefault="004F6986" w:rsidP="004F6986">
      <w:pPr>
        <w:pStyle w:val="a4"/>
        <w:numPr>
          <w:ilvl w:val="0"/>
          <w:numId w:val="1"/>
        </w:numPr>
      </w:pPr>
      <w:r w:rsidRPr="001123A1">
        <w:rPr>
          <w:b/>
        </w:rPr>
        <w:t>Заблокирован</w:t>
      </w:r>
      <w:r>
        <w:t>. В данном статусе отчет находится, когда отчет проверен сотрудником муниципалитета и в нем не обнаружено ошибок. Для редактирования отчет недоступен.</w:t>
      </w:r>
    </w:p>
    <w:p w:rsidR="004F6986" w:rsidRPr="00BC23B3" w:rsidRDefault="004F6986" w:rsidP="004F6986">
      <w:pPr>
        <w:pStyle w:val="a4"/>
        <w:numPr>
          <w:ilvl w:val="0"/>
          <w:numId w:val="1"/>
        </w:numPr>
      </w:pPr>
      <w:r w:rsidRPr="001123A1">
        <w:rPr>
          <w:b/>
        </w:rPr>
        <w:t>Принят</w:t>
      </w:r>
      <w:r>
        <w:t xml:space="preserve">. В данном статусе отчет находится, когда он был проверен на областном уровне и в нем не обнаружены ошибки. </w:t>
      </w:r>
      <w:r>
        <w:t>Для редактирования отчет недоступен.</w:t>
      </w:r>
    </w:p>
    <w:p w:rsidR="00567F37" w:rsidRDefault="00567F37">
      <w:r>
        <w:t>Кроме того, отчеты делятся на следующие типы:</w:t>
      </w:r>
    </w:p>
    <w:p w:rsidR="00567F37" w:rsidRDefault="00567F37" w:rsidP="00567F37">
      <w:pPr>
        <w:pStyle w:val="a4"/>
        <w:numPr>
          <w:ilvl w:val="0"/>
          <w:numId w:val="2"/>
        </w:numPr>
      </w:pPr>
      <w:r w:rsidRPr="001123A1">
        <w:rPr>
          <w:b/>
        </w:rPr>
        <w:t>Ежемесячные отчет</w:t>
      </w:r>
      <w:r>
        <w:t>. Данные отчет заполняются ежемесячно</w:t>
      </w:r>
    </w:p>
    <w:p w:rsidR="00BC23B3" w:rsidRDefault="00567F37" w:rsidP="00567F37">
      <w:pPr>
        <w:pStyle w:val="a4"/>
        <w:numPr>
          <w:ilvl w:val="0"/>
          <w:numId w:val="2"/>
        </w:numPr>
      </w:pPr>
      <w:r w:rsidRPr="001123A1">
        <w:rPr>
          <w:b/>
        </w:rPr>
        <w:t>Квартальные отчеты</w:t>
      </w:r>
      <w:r>
        <w:t>. Данные отчет заполняются один раз в квартал</w:t>
      </w:r>
    </w:p>
    <w:p w:rsidR="00567F37" w:rsidRDefault="00567F37" w:rsidP="00567F37">
      <w:pPr>
        <w:pStyle w:val="a4"/>
        <w:numPr>
          <w:ilvl w:val="0"/>
          <w:numId w:val="2"/>
        </w:numPr>
      </w:pPr>
      <w:r w:rsidRPr="001123A1">
        <w:rPr>
          <w:b/>
        </w:rPr>
        <w:t>Годовые отчеты</w:t>
      </w:r>
      <w:r>
        <w:t>. Отчеты данного типа собираются один раз в год</w:t>
      </w:r>
    </w:p>
    <w:p w:rsidR="00567F37" w:rsidRDefault="00567F37" w:rsidP="00567F37">
      <w:pPr>
        <w:pStyle w:val="a4"/>
        <w:numPr>
          <w:ilvl w:val="0"/>
          <w:numId w:val="2"/>
        </w:numPr>
      </w:pPr>
      <w:r w:rsidRPr="001123A1">
        <w:rPr>
          <w:b/>
        </w:rPr>
        <w:t>Полные отчет</w:t>
      </w:r>
      <w:r w:rsidR="001123A1">
        <w:rPr>
          <w:b/>
        </w:rPr>
        <w:t>ы</w:t>
      </w:r>
      <w:r>
        <w:t>. Данные отчеты либо собираются однократно, либо действуют продолжительное время (несколько лет) и позволяют оперативно вносить изменения по мере изменения данных.</w:t>
      </w:r>
    </w:p>
    <w:p w:rsidR="00567F37" w:rsidRDefault="00567F37" w:rsidP="00567F37">
      <w:pPr>
        <w:ind w:left="54"/>
      </w:pPr>
      <w:r>
        <w:t>Каждый отчет имеет сроки заполнения – они указаны в графе период заполнения. Для полных отчетов период заполнения обозначает период, в который отчет должен быть заполнен первоначально</w:t>
      </w:r>
      <w:bookmarkStart w:id="0" w:name="_GoBack"/>
      <w:bookmarkEnd w:id="0"/>
      <w:r>
        <w:t>.</w:t>
      </w:r>
    </w:p>
    <w:p w:rsidR="00567F37" w:rsidRDefault="00567F37" w:rsidP="00E92809">
      <w:pPr>
        <w:ind w:left="54"/>
      </w:pPr>
      <w:r>
        <w:t>Для заполнения/редактирования отчета необходимо нажать ссылку «Редактировать». В качестве примера на рисунке приведен внешний вид отчета «</w:t>
      </w:r>
      <w:r>
        <w:t>Мониторинг исполнения показателей дорожной карты</w:t>
      </w:r>
      <w:r>
        <w:t>»</w:t>
      </w:r>
      <w:r w:rsidR="00E92809">
        <w:t>.</w:t>
      </w:r>
    </w:p>
    <w:p w:rsidR="00567F37" w:rsidRDefault="00567F37" w:rsidP="00567F37">
      <w:pPr>
        <w:ind w:left="54"/>
      </w:pPr>
      <w:r>
        <w:rPr>
          <w:noProof/>
          <w:lang w:eastAsia="ru-RU"/>
        </w:rPr>
        <w:lastRenderedPageBreak/>
        <w:drawing>
          <wp:inline distT="0" distB="0" distL="0" distR="0" wp14:anchorId="2F2B8262" wp14:editId="0C77D31D">
            <wp:extent cx="5124090" cy="630970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960" t="6168" r="35812" b="2376"/>
                    <a:stretch/>
                  </pic:blipFill>
                  <pic:spPr bwMode="auto">
                    <a:xfrm>
                      <a:off x="0" y="0"/>
                      <a:ext cx="5176092" cy="637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809" w:rsidRDefault="00E92809" w:rsidP="00567F37">
      <w:pPr>
        <w:ind w:left="54"/>
      </w:pPr>
      <w:r>
        <w:t>Сверху отчет в случае необходимости приведена краткая инструкция по заполнению отчета.</w:t>
      </w:r>
    </w:p>
    <w:p w:rsidR="00E92809" w:rsidRDefault="00E92809" w:rsidP="00567F37">
      <w:pPr>
        <w:ind w:left="54"/>
      </w:pPr>
      <w:r>
        <w:t>В общем случае после заполнения отчета необходимо нажать кнопку «Сохранить» после полного заполнения отчета. Система автоматически контролирует корректность заполнения отчета и укажет на явные ошибки в отчете (неверный формат данных, отсутствие обязательных данных и т.п.) В случае если, ошибки обнаружатся после проверки специалистами вышестоящих организаций, они будут отображать сверху отчет в разделе «</w:t>
      </w:r>
      <w:r w:rsidRPr="00E92809">
        <w:t>Замечания по отчету</w:t>
      </w:r>
      <w:r>
        <w:t>».</w:t>
      </w:r>
    </w:p>
    <w:p w:rsidR="00E92809" w:rsidRDefault="00E92809" w:rsidP="00567F37">
      <w:pPr>
        <w:ind w:left="54"/>
      </w:pPr>
      <w:r>
        <w:t>Для того чтобы выйти из отчета без сохранения, необходимо нажать кнопку «Отмена».</w:t>
      </w:r>
    </w:p>
    <w:p w:rsidR="00E92809" w:rsidRDefault="00E92809" w:rsidP="00567F37">
      <w:pPr>
        <w:ind w:left="54"/>
      </w:pPr>
      <w:r>
        <w:t>После заполнения и сохранения отчет из статуса «Новый» переходит в статус «Заполнен». Дальнейшая смена статусов отчета зависит от представителей вышестоящих организаций и описана выше.</w:t>
      </w:r>
    </w:p>
    <w:p w:rsidR="0004636D" w:rsidRDefault="0004636D" w:rsidP="00567F37">
      <w:pPr>
        <w:ind w:left="54"/>
      </w:pPr>
      <w:r>
        <w:t>Кроме отчетов в кабинете доступен и другой функционал.</w:t>
      </w:r>
    </w:p>
    <w:p w:rsidR="0004636D" w:rsidRDefault="0004636D" w:rsidP="00567F37">
      <w:pPr>
        <w:ind w:left="54"/>
      </w:pPr>
      <w:r>
        <w:lastRenderedPageBreak/>
        <w:t>Снизу от блока отчетов находится блок управления оператором организации. Доступно единственное действие – смена пароля. Для этого необходимо нажать ссылку «Смена пароля». Для смены пароля необходимо ввести текущий пароль, а также два раза новый пароль.</w:t>
      </w:r>
    </w:p>
    <w:p w:rsidR="0004636D" w:rsidRDefault="0004636D" w:rsidP="00567F37">
      <w:pPr>
        <w:ind w:left="54"/>
      </w:pPr>
      <w:r>
        <w:rPr>
          <w:noProof/>
          <w:lang w:eastAsia="ru-RU"/>
        </w:rPr>
        <w:drawing>
          <wp:inline distT="0" distB="0" distL="0" distR="0" wp14:anchorId="59FC11A2" wp14:editId="39CC8913">
            <wp:extent cx="6179685" cy="12076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878" t="54169" r="18671" b="23298"/>
                    <a:stretch/>
                  </pic:blipFill>
                  <pic:spPr bwMode="auto">
                    <a:xfrm>
                      <a:off x="0" y="0"/>
                      <a:ext cx="6277976" cy="1226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36D" w:rsidRDefault="0004636D" w:rsidP="00567F37">
      <w:pPr>
        <w:ind w:left="54"/>
      </w:pPr>
      <w:r>
        <w:t>Для изменения логина или для добавления дополнительных операторов организации необходимо обратиться к сотрудникам муниципалитета отвечающим за систему.</w:t>
      </w:r>
    </w:p>
    <w:p w:rsidR="0004636D" w:rsidRDefault="0004636D" w:rsidP="00567F37">
      <w:pPr>
        <w:ind w:left="54"/>
      </w:pPr>
      <w:r>
        <w:t>Для выхода из системы необходимо нажать ссылку «Выход» в верхнем правом углу кабинета.</w:t>
      </w:r>
    </w:p>
    <w:p w:rsidR="0004636D" w:rsidRDefault="0004636D" w:rsidP="00567F37">
      <w:pPr>
        <w:ind w:left="54"/>
        <w:rPr>
          <w:noProof/>
          <w:lang w:eastAsia="ru-RU"/>
        </w:rPr>
      </w:pPr>
    </w:p>
    <w:p w:rsidR="0004636D" w:rsidRDefault="0004636D" w:rsidP="00567F37">
      <w:pPr>
        <w:ind w:left="54"/>
      </w:pPr>
      <w:r>
        <w:rPr>
          <w:noProof/>
          <w:lang w:eastAsia="ru-RU"/>
        </w:rPr>
        <w:drawing>
          <wp:inline distT="0" distB="0" distL="0" distR="0" wp14:anchorId="20778501" wp14:editId="7F07FCE5">
            <wp:extent cx="5634753" cy="1173192"/>
            <wp:effectExtent l="0" t="0" r="444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743" r="18486" b="75870"/>
                    <a:stretch/>
                  </pic:blipFill>
                  <pic:spPr bwMode="auto">
                    <a:xfrm>
                      <a:off x="0" y="0"/>
                      <a:ext cx="5740804" cy="1195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36D" w:rsidRPr="004F6986" w:rsidRDefault="0004636D" w:rsidP="00567F37">
      <w:pPr>
        <w:ind w:left="54"/>
      </w:pPr>
      <w:r>
        <w:t>Также в кабинете организации доступен раздел «Статистика» (ссылка сверху посередине). В данном разделе представлены итоговые данные по собранным в системе отчетам.  Для операторов организаций могут быть доступны данные не по всем собираемым отчетам. Доступность данных регулируется на областном уровне.</w:t>
      </w:r>
    </w:p>
    <w:sectPr w:rsidR="0004636D" w:rsidRPr="004F6986" w:rsidSect="00BC23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755F"/>
    <w:multiLevelType w:val="hybridMultilevel"/>
    <w:tmpl w:val="1ACA1524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2AD6C71"/>
    <w:multiLevelType w:val="hybridMultilevel"/>
    <w:tmpl w:val="699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B3"/>
    <w:rsid w:val="0004636D"/>
    <w:rsid w:val="001123A1"/>
    <w:rsid w:val="004F6986"/>
    <w:rsid w:val="00567F37"/>
    <w:rsid w:val="00680924"/>
    <w:rsid w:val="00BC23B3"/>
    <w:rsid w:val="00E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FB0B2-BE4A-4B46-9C91-5DC287A9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A1"/>
  </w:style>
  <w:style w:type="paragraph" w:styleId="1">
    <w:name w:val="heading 1"/>
    <w:basedOn w:val="a"/>
    <w:next w:val="a"/>
    <w:link w:val="10"/>
    <w:uiPriority w:val="9"/>
    <w:qFormat/>
    <w:rsid w:val="001123A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23A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3A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3A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3A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3A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3A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3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3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3A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a3">
    <w:name w:val="Hyperlink"/>
    <w:basedOn w:val="a0"/>
    <w:uiPriority w:val="99"/>
    <w:unhideWhenUsed/>
    <w:rsid w:val="00BC23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69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23A1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123A1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123A1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123A1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123A1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123A1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123A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23A1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123A1"/>
    <w:rPr>
      <w:b/>
      <w:bCs/>
      <w:color w:val="2E74B5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123A1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123A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123A1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1123A1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1123A1"/>
    <w:rPr>
      <w:b/>
      <w:bCs/>
    </w:rPr>
  </w:style>
  <w:style w:type="character" w:styleId="ab">
    <w:name w:val="Emphasis"/>
    <w:uiPriority w:val="20"/>
    <w:qFormat/>
    <w:rsid w:val="001123A1"/>
    <w:rPr>
      <w:caps/>
      <w:color w:val="1F4D78" w:themeColor="accent1" w:themeShade="7F"/>
      <w:spacing w:val="5"/>
    </w:rPr>
  </w:style>
  <w:style w:type="paragraph" w:styleId="ac">
    <w:name w:val="No Spacing"/>
    <w:uiPriority w:val="1"/>
    <w:qFormat/>
    <w:rsid w:val="001123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23A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123A1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23A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23A1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1123A1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1123A1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1123A1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1123A1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1123A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123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mon.ast63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2018-05-02T10:16:00Z</dcterms:created>
  <dcterms:modified xsi:type="dcterms:W3CDTF">2018-05-02T11:34:00Z</dcterms:modified>
</cp:coreProperties>
</file>